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34F12EC" w14:textId="77777777" w:rsidR="00AA7EC0" w:rsidRPr="00A64D9E" w:rsidRDefault="00AA7EC0" w:rsidP="00206E19">
      <w:pPr>
        <w:pStyle w:val="Heading1"/>
        <w:spacing w:before="0" w:after="0"/>
        <w:rPr>
          <w:rFonts w:ascii="Proxima Nova" w:hAnsi="Proxima Nova"/>
          <w:b/>
          <w:bCs/>
          <w:color w:val="F15D22"/>
          <w:sz w:val="12"/>
          <w:szCs w:val="12"/>
        </w:rPr>
      </w:pPr>
      <w:bookmarkStart w:id="0" w:name="_Toc230859487"/>
    </w:p>
    <w:p w14:paraId="65E3F595" w14:textId="4CCB60EA" w:rsidR="00206E19" w:rsidRPr="00A64D9E" w:rsidRDefault="00206E19" w:rsidP="00206E19">
      <w:pPr>
        <w:pStyle w:val="Heading1"/>
        <w:spacing w:before="0" w:after="0"/>
        <w:rPr>
          <w:rFonts w:ascii="Proxima Nova" w:hAnsi="Proxima Nova"/>
          <w:color w:val="4F00A3"/>
          <w:sz w:val="32"/>
          <w:szCs w:val="32"/>
        </w:rPr>
      </w:pPr>
      <w:r w:rsidRPr="00A64D9E">
        <w:rPr>
          <w:rFonts w:ascii="Proxima Nova" w:hAnsi="Proxima Nova"/>
          <w:color w:val="4F00A3"/>
          <w:sz w:val="32"/>
          <w:szCs w:val="32"/>
        </w:rPr>
        <w:t>Beginning the Work – Initial QAS Self-Assessment</w:t>
      </w:r>
      <w:bookmarkEnd w:id="0"/>
    </w:p>
    <w:p w14:paraId="75515554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</w:p>
    <w:p w14:paraId="4C436F8D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Before engaging in a deep examination of the seven QAS elements, teams should complete a rapid self-assessment (see below) to surface initial perceptions, assumptions, and areas of confidence or concern. This activity is intended to create a starting point for reflection rather than a final judgment about the strength of the system.</w:t>
      </w:r>
    </w:p>
    <w:p w14:paraId="521B4DC3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</w:p>
    <w:p w14:paraId="7C830E00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The purpose of the self-assessment is to:</w:t>
      </w:r>
    </w:p>
    <w:p w14:paraId="4ABCFFE0" w14:textId="77777777" w:rsidR="00206E19" w:rsidRPr="00A64D9E" w:rsidRDefault="00206E19" w:rsidP="00206E19">
      <w:pPr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surface differing perceptions across stakeholders,</w:t>
      </w:r>
    </w:p>
    <w:p w14:paraId="4FB1012D" w14:textId="77777777" w:rsidR="00206E19" w:rsidRPr="00A64D9E" w:rsidRDefault="00206E19" w:rsidP="00206E19">
      <w:pPr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identify areas where evidence may be limited or inconsistent,</w:t>
      </w:r>
    </w:p>
    <w:p w14:paraId="5486FC27" w14:textId="77777777" w:rsidR="00206E19" w:rsidRPr="00A64D9E" w:rsidRDefault="00206E19" w:rsidP="00206E19">
      <w:pPr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establish an initial picture of system strengths and vulnerabilities,</w:t>
      </w:r>
    </w:p>
    <w:p w14:paraId="59845815" w14:textId="77777777" w:rsidR="00206E19" w:rsidRPr="00A64D9E" w:rsidRDefault="00206E19" w:rsidP="00206E19">
      <w:pPr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and prepare teams for deeper analysis during the institute.</w:t>
      </w:r>
    </w:p>
    <w:p w14:paraId="4533F765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</w:p>
    <w:p w14:paraId="75A6A864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Teams are encouraged to approach the activity as a reflection tool rather than an audit.</w:t>
      </w:r>
    </w:p>
    <w:p w14:paraId="15970834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  <w:b/>
          <w:bCs/>
        </w:rPr>
      </w:pPr>
    </w:p>
    <w:p w14:paraId="5E2280BD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  <w:b/>
          <w:bCs/>
          <w:color w:val="F15D22"/>
        </w:rPr>
      </w:pPr>
      <w:r w:rsidRPr="00A64D9E">
        <w:rPr>
          <w:rFonts w:ascii="Proxima Nova" w:hAnsi="Proxima Nova"/>
          <w:b/>
          <w:bCs/>
          <w:color w:val="F15D22"/>
        </w:rPr>
        <w:t>Suggested Team Norms</w:t>
      </w:r>
    </w:p>
    <w:p w14:paraId="6CB1C84C" w14:textId="77777777" w:rsidR="00206E19" w:rsidRPr="00A64D9E" w:rsidRDefault="00206E19" w:rsidP="00206E19">
      <w:pPr>
        <w:numPr>
          <w:ilvl w:val="0"/>
          <w:numId w:val="2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Focus on honest reflection rather than consensus.</w:t>
      </w:r>
    </w:p>
    <w:p w14:paraId="7B5DEC30" w14:textId="77777777" w:rsidR="00206E19" w:rsidRPr="00A64D9E" w:rsidRDefault="00206E19" w:rsidP="00206E19">
      <w:pPr>
        <w:numPr>
          <w:ilvl w:val="0"/>
          <w:numId w:val="2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Distinguish assumptions from evidence.</w:t>
      </w:r>
    </w:p>
    <w:p w14:paraId="5D3AF2E2" w14:textId="77777777" w:rsidR="00206E19" w:rsidRPr="00A64D9E" w:rsidRDefault="00206E19" w:rsidP="00206E19">
      <w:pPr>
        <w:numPr>
          <w:ilvl w:val="0"/>
          <w:numId w:val="2"/>
        </w:numPr>
        <w:tabs>
          <w:tab w:val="clear" w:pos="360"/>
          <w:tab w:val="num" w:pos="720"/>
        </w:tabs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Be willing to revise perceptions as learning deepens.</w:t>
      </w:r>
    </w:p>
    <w:p w14:paraId="3984B546" w14:textId="77777777" w:rsidR="00206E19" w:rsidRPr="00A64D9E" w:rsidRDefault="00206E19" w:rsidP="00206E19">
      <w:pPr>
        <w:numPr>
          <w:ilvl w:val="0"/>
          <w:numId w:val="2"/>
        </w:num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Treat disagreement as useful information about how the system is experienced.</w:t>
      </w:r>
    </w:p>
    <w:p w14:paraId="332B0ADC" w14:textId="77777777" w:rsidR="00206E19" w:rsidRPr="00A64D9E" w:rsidRDefault="00206E19" w:rsidP="00206E19">
      <w:pPr>
        <w:pStyle w:val="BodyText"/>
        <w:spacing w:after="0" w:line="276" w:lineRule="auto"/>
        <w:rPr>
          <w:rFonts w:ascii="Proxima Nova" w:hAnsi="Proxima Nova"/>
        </w:rPr>
      </w:pPr>
    </w:p>
    <w:p w14:paraId="154C57E4" w14:textId="1D37B889" w:rsidR="00206E19" w:rsidRDefault="006E61DB" w:rsidP="00206E19">
      <w:pPr>
        <w:pStyle w:val="BodyText"/>
        <w:spacing w:after="0" w:line="276" w:lineRule="auto"/>
        <w:rPr>
          <w:rFonts w:ascii="Proxima Nova" w:hAnsi="Proxima Nova"/>
          <w:b/>
          <w:bCs/>
          <w:color w:val="F15D22" w:themeColor="accent2"/>
        </w:rPr>
      </w:pPr>
      <w:r w:rsidRPr="00A64D9E">
        <w:rPr>
          <w:rFonts w:ascii="Proxima Nova" w:hAnsi="Proxima Nova"/>
          <w:b/>
          <w:bCs/>
          <w:color w:val="F15D22" w:themeColor="accent2"/>
        </w:rPr>
        <w:t xml:space="preserve">Self-Assessment Ratings </w:t>
      </w:r>
      <w:r w:rsidR="00206E19" w:rsidRPr="00A64D9E">
        <w:rPr>
          <w:rFonts w:ascii="Proxima Nova" w:hAnsi="Proxima Nova"/>
          <w:b/>
          <w:bCs/>
          <w:color w:val="F15D22" w:themeColor="accent2"/>
        </w:rPr>
        <w:t xml:space="preserve">Likert Scale: </w:t>
      </w:r>
    </w:p>
    <w:p w14:paraId="16F7255D" w14:textId="77777777" w:rsidR="00147412" w:rsidRPr="00A64D9E" w:rsidRDefault="00147412" w:rsidP="00206E19">
      <w:pPr>
        <w:pStyle w:val="BodyText"/>
        <w:spacing w:after="0" w:line="276" w:lineRule="auto"/>
        <w:rPr>
          <w:rFonts w:ascii="Proxima Nova" w:hAnsi="Proxima Nova"/>
          <w:b/>
          <w:bCs/>
          <w:color w:val="F15D22" w:themeColor="accent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7565"/>
      </w:tblGrid>
      <w:tr w:rsidR="00A64D9E" w:rsidRPr="00A64D9E" w14:paraId="2A5737F9" w14:textId="77777777" w:rsidTr="0027328E">
        <w:tc>
          <w:tcPr>
            <w:tcW w:w="1705" w:type="dxa"/>
            <w:vAlign w:val="center"/>
            <w:hideMark/>
          </w:tcPr>
          <w:p w14:paraId="17414B13" w14:textId="5B444D1E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  <w:b/>
                <w:bCs/>
              </w:rPr>
              <w:t>Rating</w:t>
            </w:r>
          </w:p>
        </w:tc>
        <w:tc>
          <w:tcPr>
            <w:tcW w:w="7565" w:type="dxa"/>
            <w:vAlign w:val="center"/>
            <w:hideMark/>
          </w:tcPr>
          <w:p w14:paraId="3EE9CC81" w14:textId="36B0DE81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  <w:b/>
                <w:bCs/>
              </w:rPr>
              <w:t>Descriptor</w:t>
            </w:r>
          </w:p>
        </w:tc>
      </w:tr>
      <w:tr w:rsidR="00A64D9E" w:rsidRPr="00A64D9E" w14:paraId="2613FE80" w14:textId="77777777" w:rsidTr="0027328E">
        <w:tc>
          <w:tcPr>
            <w:tcW w:w="1705" w:type="dxa"/>
            <w:vAlign w:val="center"/>
            <w:hideMark/>
          </w:tcPr>
          <w:p w14:paraId="6F0B0D64" w14:textId="4AF2F841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Style w:val="Strong"/>
                <w:rFonts w:ascii="Proxima Nova" w:hAnsi="Proxima Nova"/>
              </w:rPr>
              <w:t>1 – Beginning</w:t>
            </w:r>
          </w:p>
        </w:tc>
        <w:tc>
          <w:tcPr>
            <w:tcW w:w="7565" w:type="dxa"/>
            <w:vAlign w:val="center"/>
            <w:hideMark/>
          </w:tcPr>
          <w:p w14:paraId="160DAF8A" w14:textId="0FD8D876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</w:rPr>
              <w:t>Practice is informal, inconsistent, or largely absent.</w:t>
            </w:r>
          </w:p>
        </w:tc>
      </w:tr>
      <w:tr w:rsidR="00A64D9E" w:rsidRPr="00A64D9E" w14:paraId="4B983D69" w14:textId="77777777" w:rsidTr="0027328E">
        <w:tc>
          <w:tcPr>
            <w:tcW w:w="1705" w:type="dxa"/>
            <w:vAlign w:val="center"/>
            <w:hideMark/>
          </w:tcPr>
          <w:p w14:paraId="68174545" w14:textId="28C80F60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Style w:val="Strong"/>
                <w:rFonts w:ascii="Proxima Nova" w:hAnsi="Proxima Nova"/>
              </w:rPr>
              <w:t>2 – Emerging</w:t>
            </w:r>
          </w:p>
        </w:tc>
        <w:tc>
          <w:tcPr>
            <w:tcW w:w="7565" w:type="dxa"/>
            <w:vAlign w:val="center"/>
            <w:hideMark/>
          </w:tcPr>
          <w:p w14:paraId="5FC960ED" w14:textId="64E89602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</w:rPr>
              <w:t>Structures exist but implementation is inconsistent or limited.</w:t>
            </w:r>
          </w:p>
        </w:tc>
      </w:tr>
      <w:tr w:rsidR="00A64D9E" w:rsidRPr="00A64D9E" w14:paraId="7643BFDE" w14:textId="77777777" w:rsidTr="0027328E">
        <w:tc>
          <w:tcPr>
            <w:tcW w:w="1705" w:type="dxa"/>
            <w:vAlign w:val="center"/>
            <w:hideMark/>
          </w:tcPr>
          <w:p w14:paraId="2A78D2C4" w14:textId="41615863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Style w:val="Strong"/>
                <w:rFonts w:ascii="Proxima Nova" w:hAnsi="Proxima Nova"/>
              </w:rPr>
              <w:t>3 – Established</w:t>
            </w:r>
          </w:p>
        </w:tc>
        <w:tc>
          <w:tcPr>
            <w:tcW w:w="7565" w:type="dxa"/>
            <w:vAlign w:val="center"/>
            <w:hideMark/>
          </w:tcPr>
          <w:p w14:paraId="783A7913" w14:textId="6A6C8916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</w:rPr>
              <w:t>Practice is implemented consistently across most of the organization and routinely informs decisions.</w:t>
            </w:r>
          </w:p>
        </w:tc>
      </w:tr>
      <w:tr w:rsidR="00A64D9E" w:rsidRPr="00A64D9E" w14:paraId="01F073F9" w14:textId="77777777" w:rsidTr="0027328E">
        <w:tc>
          <w:tcPr>
            <w:tcW w:w="1705" w:type="dxa"/>
            <w:vAlign w:val="center"/>
          </w:tcPr>
          <w:p w14:paraId="56D52BC9" w14:textId="60D3F518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</w:rPr>
            </w:pPr>
            <w:r w:rsidRPr="00A64D9E">
              <w:rPr>
                <w:rStyle w:val="Strong"/>
                <w:rFonts w:ascii="Proxima Nova" w:hAnsi="Proxima Nova"/>
              </w:rPr>
              <w:t>4 – Optimizing</w:t>
            </w:r>
          </w:p>
        </w:tc>
        <w:tc>
          <w:tcPr>
            <w:tcW w:w="7565" w:type="dxa"/>
            <w:vAlign w:val="center"/>
          </w:tcPr>
          <w:p w14:paraId="4AFDB408" w14:textId="3E6E8D55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</w:rPr>
              <w:t>Practice is embedded, routinely evaluated, and continuously refined based on evidence.</w:t>
            </w:r>
          </w:p>
        </w:tc>
      </w:tr>
    </w:tbl>
    <w:p w14:paraId="6F7D88A6" w14:textId="77777777" w:rsidR="00206E19" w:rsidRPr="00A64D9E" w:rsidRDefault="00206E19" w:rsidP="00206E19">
      <w:pPr>
        <w:pStyle w:val="BodyText"/>
        <w:spacing w:after="0" w:line="276" w:lineRule="auto"/>
        <w:rPr>
          <w:rFonts w:ascii="Proxima Nova" w:hAnsi="Proxima Nova"/>
        </w:rPr>
      </w:pPr>
    </w:p>
    <w:p w14:paraId="4DD7FDE0" w14:textId="5782D896" w:rsidR="006E61DB" w:rsidRDefault="006E61DB" w:rsidP="006E61DB">
      <w:pPr>
        <w:pStyle w:val="BodyText"/>
        <w:spacing w:after="0" w:line="276" w:lineRule="auto"/>
        <w:rPr>
          <w:rFonts w:ascii="Proxima Nova" w:hAnsi="Proxima Nova"/>
          <w:b/>
          <w:bCs/>
          <w:color w:val="F15D22" w:themeColor="accent2"/>
        </w:rPr>
      </w:pPr>
      <w:r w:rsidRPr="00A64D9E">
        <w:rPr>
          <w:rFonts w:ascii="Proxima Nova" w:hAnsi="Proxima Nova"/>
          <w:b/>
          <w:bCs/>
          <w:color w:val="F15D22" w:themeColor="accent2"/>
        </w:rPr>
        <w:t xml:space="preserve">Confidence in Our Self-Assessment Rating Likert Scale: </w:t>
      </w:r>
    </w:p>
    <w:p w14:paraId="01504025" w14:textId="77777777" w:rsidR="00147412" w:rsidRPr="00A64D9E" w:rsidRDefault="00147412" w:rsidP="006E61DB">
      <w:pPr>
        <w:pStyle w:val="BodyText"/>
        <w:spacing w:after="0" w:line="276" w:lineRule="auto"/>
        <w:rPr>
          <w:rFonts w:ascii="Proxima Nova" w:hAnsi="Proxima Nova"/>
          <w:b/>
          <w:bCs/>
          <w:color w:val="F15D22" w:themeColor="accent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7565"/>
      </w:tblGrid>
      <w:tr w:rsidR="00A64D9E" w:rsidRPr="00A64D9E" w14:paraId="52ECD637" w14:textId="77777777" w:rsidTr="001D560E">
        <w:tc>
          <w:tcPr>
            <w:tcW w:w="1705" w:type="dxa"/>
            <w:vAlign w:val="center"/>
            <w:hideMark/>
          </w:tcPr>
          <w:p w14:paraId="7233612D" w14:textId="61357E32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  <w:b/>
                <w:bCs/>
              </w:rPr>
              <w:t>Confidence</w:t>
            </w:r>
          </w:p>
        </w:tc>
        <w:tc>
          <w:tcPr>
            <w:tcW w:w="7565" w:type="dxa"/>
            <w:vAlign w:val="center"/>
            <w:hideMark/>
          </w:tcPr>
          <w:p w14:paraId="3823DD48" w14:textId="495BBFFA" w:rsidR="00A64D9E" w:rsidRPr="00A64D9E" w:rsidRDefault="00A64D9E" w:rsidP="00A64D9E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  <w:b/>
                <w:bCs/>
              </w:rPr>
              <w:t>Meaning</w:t>
            </w:r>
          </w:p>
        </w:tc>
      </w:tr>
      <w:tr w:rsidR="00DF0566" w:rsidRPr="00A64D9E" w14:paraId="403DB7AD" w14:textId="77777777" w:rsidTr="001D560E">
        <w:tc>
          <w:tcPr>
            <w:tcW w:w="1705" w:type="dxa"/>
            <w:vAlign w:val="center"/>
          </w:tcPr>
          <w:p w14:paraId="3B273F16" w14:textId="12A5BD8C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</w:rPr>
            </w:pPr>
            <w:r w:rsidRPr="00A64D9E">
              <w:rPr>
                <w:rStyle w:val="Strong"/>
                <w:rFonts w:ascii="Proxima Nova" w:hAnsi="Proxima Nova"/>
              </w:rPr>
              <w:t>High</w:t>
            </w:r>
          </w:p>
        </w:tc>
        <w:tc>
          <w:tcPr>
            <w:tcW w:w="7565" w:type="dxa"/>
            <w:vAlign w:val="center"/>
          </w:tcPr>
          <w:p w14:paraId="6BABFE0A" w14:textId="7B656DDD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</w:rPr>
            </w:pPr>
            <w:r w:rsidRPr="00A64D9E">
              <w:rPr>
                <w:rFonts w:ascii="Proxima Nova" w:hAnsi="Proxima Nova"/>
              </w:rPr>
              <w:t>We have sufficient evidence and broad agreement supporting this rating.</w:t>
            </w:r>
          </w:p>
        </w:tc>
      </w:tr>
      <w:tr w:rsidR="00DF0566" w:rsidRPr="00A64D9E" w14:paraId="1B0B8D8C" w14:textId="77777777" w:rsidTr="001D560E">
        <w:tc>
          <w:tcPr>
            <w:tcW w:w="1705" w:type="dxa"/>
            <w:vAlign w:val="center"/>
          </w:tcPr>
          <w:p w14:paraId="5E88E63D" w14:textId="560D863D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</w:rPr>
            </w:pPr>
            <w:r w:rsidRPr="00A64D9E">
              <w:rPr>
                <w:rStyle w:val="Strong"/>
                <w:rFonts w:ascii="Proxima Nova" w:hAnsi="Proxima Nova"/>
              </w:rPr>
              <w:t>Moderate</w:t>
            </w:r>
          </w:p>
        </w:tc>
        <w:tc>
          <w:tcPr>
            <w:tcW w:w="7565" w:type="dxa"/>
            <w:vAlign w:val="center"/>
          </w:tcPr>
          <w:p w14:paraId="44F58C13" w14:textId="5FE3A8B3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</w:rPr>
            </w:pPr>
            <w:r w:rsidRPr="00A64D9E">
              <w:rPr>
                <w:rFonts w:ascii="Proxima Nova" w:hAnsi="Proxima Nova"/>
              </w:rPr>
              <w:t>We have some evidence, but additional information would strengthen our judgment.</w:t>
            </w:r>
          </w:p>
        </w:tc>
      </w:tr>
      <w:tr w:rsidR="00DF0566" w:rsidRPr="00A64D9E" w14:paraId="6D82D6F0" w14:textId="77777777" w:rsidTr="001D560E">
        <w:tc>
          <w:tcPr>
            <w:tcW w:w="1705" w:type="dxa"/>
            <w:vAlign w:val="center"/>
            <w:hideMark/>
          </w:tcPr>
          <w:p w14:paraId="62E2EB9F" w14:textId="480BE694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Style w:val="Strong"/>
                <w:rFonts w:ascii="Proxima Nova" w:hAnsi="Proxima Nova"/>
              </w:rPr>
              <w:t>Low</w:t>
            </w:r>
          </w:p>
        </w:tc>
        <w:tc>
          <w:tcPr>
            <w:tcW w:w="7565" w:type="dxa"/>
            <w:vAlign w:val="center"/>
            <w:hideMark/>
          </w:tcPr>
          <w:p w14:paraId="36762554" w14:textId="1E1B8C56" w:rsidR="00DF0566" w:rsidRPr="00A64D9E" w:rsidRDefault="00DF0566" w:rsidP="00DF0566">
            <w:pPr>
              <w:pStyle w:val="BodyText"/>
              <w:spacing w:after="0" w:line="276" w:lineRule="auto"/>
              <w:rPr>
                <w:rFonts w:ascii="Proxima Nova" w:hAnsi="Proxima Nova"/>
              </w:rPr>
            </w:pPr>
            <w:r w:rsidRPr="00A64D9E">
              <w:rPr>
                <w:rFonts w:ascii="Proxima Nova" w:hAnsi="Proxima Nova"/>
              </w:rPr>
              <w:t>We have limited evidence or differing perspectives.</w:t>
            </w:r>
          </w:p>
        </w:tc>
      </w:tr>
    </w:tbl>
    <w:p w14:paraId="4DA1A8DD" w14:textId="77777777" w:rsidR="006E61DB" w:rsidRPr="00A64D9E" w:rsidRDefault="006E61DB" w:rsidP="00206E19">
      <w:pPr>
        <w:pStyle w:val="BodyText"/>
        <w:spacing w:after="0" w:line="276" w:lineRule="auto"/>
        <w:rPr>
          <w:rFonts w:ascii="Proxima Nova" w:hAnsi="Proxima Nova"/>
        </w:rPr>
      </w:pPr>
    </w:p>
    <w:p w14:paraId="467950A1" w14:textId="6F6C195E" w:rsidR="00206E19" w:rsidRDefault="00206E19" w:rsidP="0060798A">
      <w:pPr>
        <w:pStyle w:val="BodyText"/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Teams should rate each element based on their current experience and understanding of the system, recognizing that ratings may shift after deeper analysis and discussion.</w:t>
      </w:r>
    </w:p>
    <w:p w14:paraId="2DD3A8B5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7DFE3414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31CC667C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3803214E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7F96832A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55C22AA6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p w14:paraId="3620A97B" w14:textId="77777777" w:rsidR="00147412" w:rsidRDefault="00147412" w:rsidP="0060798A">
      <w:pPr>
        <w:pStyle w:val="BodyText"/>
        <w:spacing w:after="0" w:line="276" w:lineRule="auto"/>
        <w:rPr>
          <w:rFonts w:ascii="Proxima Nova" w:hAnsi="Proxima Nova"/>
        </w:rPr>
        <w:sectPr w:rsidR="00147412" w:rsidSect="00AA7EC0">
          <w:headerReference w:type="default" r:id="rId10"/>
          <w:footerReference w:type="default" r:id="rId11"/>
          <w:pgSz w:w="12240" w:h="15840"/>
          <w:pgMar w:top="1440" w:right="1440" w:bottom="630" w:left="1440" w:header="720" w:footer="720" w:gutter="0"/>
          <w:cols w:space="720"/>
          <w:docGrid w:linePitch="360"/>
        </w:sectPr>
      </w:pPr>
    </w:p>
    <w:p w14:paraId="18A968A8" w14:textId="77777777" w:rsidR="00147412" w:rsidRPr="00A64D9E" w:rsidRDefault="00147412" w:rsidP="0060798A">
      <w:pPr>
        <w:pStyle w:val="BodyText"/>
        <w:spacing w:after="0" w:line="276" w:lineRule="auto"/>
        <w:rPr>
          <w:rFonts w:ascii="Proxima Nova" w:hAnsi="Proxima Nova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48"/>
        <w:gridCol w:w="2902"/>
        <w:gridCol w:w="2903"/>
        <w:gridCol w:w="2903"/>
        <w:gridCol w:w="2900"/>
      </w:tblGrid>
      <w:tr w:rsidR="00147412" w:rsidRPr="00A64D9E" w14:paraId="0C808CD5" w14:textId="61D11543" w:rsidTr="00147412">
        <w:trPr>
          <w:trHeight w:val="413"/>
          <w:tblHeader/>
        </w:trPr>
        <w:tc>
          <w:tcPr>
            <w:tcW w:w="5000" w:type="pct"/>
            <w:gridSpan w:val="5"/>
            <w:shd w:val="clear" w:color="auto" w:fill="4F00A3"/>
            <w:vAlign w:val="center"/>
          </w:tcPr>
          <w:p w14:paraId="2D299DD5" w14:textId="41725238" w:rsidR="00147412" w:rsidRPr="00A64D9E" w:rsidRDefault="00147412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INITIAL QAS SELF-ASSESSMENT</w:t>
            </w:r>
          </w:p>
        </w:tc>
      </w:tr>
      <w:tr w:rsidR="002E3675" w:rsidRPr="00A64D9E" w14:paraId="3681AD83" w14:textId="5205D835" w:rsidTr="002E3675">
        <w:trPr>
          <w:trHeight w:val="215"/>
          <w:tblHeader/>
        </w:trPr>
        <w:tc>
          <w:tcPr>
            <w:tcW w:w="781" w:type="pct"/>
            <w:vMerge w:val="restart"/>
            <w:shd w:val="clear" w:color="auto" w:fill="F15D22"/>
            <w:vAlign w:val="center"/>
          </w:tcPr>
          <w:p w14:paraId="3AA79202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QAS Element</w:t>
            </w:r>
          </w:p>
        </w:tc>
        <w:tc>
          <w:tcPr>
            <w:tcW w:w="1055" w:type="pct"/>
            <w:shd w:val="clear" w:color="auto" w:fill="F15D22"/>
            <w:vAlign w:val="center"/>
          </w:tcPr>
          <w:p w14:paraId="49992D45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Rating</w:t>
            </w:r>
          </w:p>
        </w:tc>
        <w:tc>
          <w:tcPr>
            <w:tcW w:w="1055" w:type="pct"/>
            <w:shd w:val="clear" w:color="auto" w:fill="F15D22"/>
            <w:vAlign w:val="center"/>
          </w:tcPr>
          <w:p w14:paraId="146A820A" w14:textId="633BDCCA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Confidence in our Self-Assessment Rating</w:t>
            </w:r>
          </w:p>
        </w:tc>
        <w:tc>
          <w:tcPr>
            <w:tcW w:w="1055" w:type="pct"/>
            <w:vMerge w:val="restart"/>
            <w:shd w:val="clear" w:color="auto" w:fill="F15D22"/>
            <w:vAlign w:val="center"/>
          </w:tcPr>
          <w:p w14:paraId="550B8888" w14:textId="5DD6FF57" w:rsidR="002E3675" w:rsidRPr="00A64D9E" w:rsidRDefault="00DF0566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Key e</w:t>
            </w:r>
            <w:r w:rsidR="002E3675" w:rsidRPr="00E5756B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vidence supporting this rating</w:t>
            </w:r>
          </w:p>
        </w:tc>
        <w:tc>
          <w:tcPr>
            <w:tcW w:w="1054" w:type="pct"/>
            <w:vMerge w:val="restart"/>
            <w:shd w:val="clear" w:color="auto" w:fill="F15D22"/>
            <w:vAlign w:val="center"/>
          </w:tcPr>
          <w:p w14:paraId="454453BA" w14:textId="6BE92E2B" w:rsidR="002E3675" w:rsidRPr="00A64D9E" w:rsidRDefault="002E3675" w:rsidP="002E3675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2E3675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Primary opportunity for improvement</w:t>
            </w:r>
          </w:p>
        </w:tc>
      </w:tr>
      <w:tr w:rsidR="002E3675" w:rsidRPr="00A64D9E" w14:paraId="39CE2883" w14:textId="4DE2D815" w:rsidTr="00147412">
        <w:trPr>
          <w:trHeight w:val="158"/>
          <w:tblHeader/>
        </w:trPr>
        <w:tc>
          <w:tcPr>
            <w:tcW w:w="781" w:type="pct"/>
            <w:vMerge/>
            <w:shd w:val="clear" w:color="auto" w:fill="4F00A3"/>
            <w:vAlign w:val="center"/>
          </w:tcPr>
          <w:p w14:paraId="27EA47D8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 w:val="14"/>
                <w:szCs w:val="14"/>
              </w:rPr>
            </w:pPr>
          </w:p>
        </w:tc>
        <w:tc>
          <w:tcPr>
            <w:tcW w:w="1055" w:type="pct"/>
            <w:shd w:val="clear" w:color="auto" w:fill="4F00A3"/>
            <w:vAlign w:val="center"/>
          </w:tcPr>
          <w:p w14:paraId="61D2E75C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1-4</w:t>
            </w:r>
          </w:p>
        </w:tc>
        <w:tc>
          <w:tcPr>
            <w:tcW w:w="1055" w:type="pct"/>
            <w:shd w:val="clear" w:color="auto" w:fill="4F00A3"/>
            <w:vAlign w:val="center"/>
          </w:tcPr>
          <w:p w14:paraId="73028F9B" w14:textId="037F98AD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  <w:r w:rsidRPr="00A64D9E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 xml:space="preserve">High – Moderate - </w:t>
            </w:r>
            <w:r w:rsidR="00DF0566"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  <w:t>Low</w:t>
            </w:r>
          </w:p>
        </w:tc>
        <w:tc>
          <w:tcPr>
            <w:tcW w:w="1055" w:type="pct"/>
            <w:vMerge/>
            <w:shd w:val="clear" w:color="auto" w:fill="4F00A3"/>
            <w:vAlign w:val="center"/>
          </w:tcPr>
          <w:p w14:paraId="444C2FAF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</w:p>
        </w:tc>
        <w:tc>
          <w:tcPr>
            <w:tcW w:w="1054" w:type="pct"/>
            <w:vMerge/>
            <w:shd w:val="clear" w:color="auto" w:fill="4F00A3"/>
          </w:tcPr>
          <w:p w14:paraId="12888136" w14:textId="77777777" w:rsidR="002E3675" w:rsidRPr="00A64D9E" w:rsidRDefault="002E3675" w:rsidP="009762B9">
            <w:pPr>
              <w:pStyle w:val="BodyText"/>
              <w:spacing w:after="0" w:line="276" w:lineRule="auto"/>
              <w:jc w:val="center"/>
              <w:rPr>
                <w:rFonts w:ascii="Proxima Nova" w:hAnsi="Proxima Nova"/>
                <w:b/>
                <w:bCs/>
                <w:color w:val="FFFFFF" w:themeColor="background1"/>
                <w:szCs w:val="19"/>
              </w:rPr>
            </w:pPr>
          </w:p>
        </w:tc>
      </w:tr>
      <w:tr w:rsidR="00147412" w:rsidRPr="00A64D9E" w14:paraId="33820400" w14:textId="14D60B4E" w:rsidTr="00147412">
        <w:tc>
          <w:tcPr>
            <w:tcW w:w="781" w:type="pct"/>
            <w:vAlign w:val="center"/>
          </w:tcPr>
          <w:p w14:paraId="34F4FE8F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Defining Quality</w:t>
            </w:r>
          </w:p>
        </w:tc>
        <w:tc>
          <w:tcPr>
            <w:tcW w:w="1055" w:type="pct"/>
          </w:tcPr>
          <w:p w14:paraId="35D68D0A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02ED915A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6EEDDF91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36A6AE85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727C7DA2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3D1FE633" w14:textId="0DF5D242" w:rsidTr="00147412">
        <w:tc>
          <w:tcPr>
            <w:tcW w:w="781" w:type="pct"/>
            <w:vAlign w:val="center"/>
          </w:tcPr>
          <w:p w14:paraId="1DE04C1E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Evidence &amp; Data Systems</w:t>
            </w:r>
          </w:p>
        </w:tc>
        <w:tc>
          <w:tcPr>
            <w:tcW w:w="1055" w:type="pct"/>
          </w:tcPr>
          <w:p w14:paraId="40D4E5C1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427EE233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18B88423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79B202BC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2A8FD89D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2BCBCD09" w14:textId="508E4B03" w:rsidTr="00147412">
        <w:tc>
          <w:tcPr>
            <w:tcW w:w="781" w:type="pct"/>
            <w:vAlign w:val="center"/>
          </w:tcPr>
          <w:p w14:paraId="0BCF0EC5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Analysis &amp; Decision-Making</w:t>
            </w:r>
          </w:p>
        </w:tc>
        <w:tc>
          <w:tcPr>
            <w:tcW w:w="1055" w:type="pct"/>
          </w:tcPr>
          <w:p w14:paraId="21763FAF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5075E52E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55E5EFEC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7132253F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7DE0A4BA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5B6766E7" w14:textId="79BA7A3B" w:rsidTr="00147412">
        <w:tc>
          <w:tcPr>
            <w:tcW w:w="781" w:type="pct"/>
            <w:vAlign w:val="center"/>
          </w:tcPr>
          <w:p w14:paraId="4485A285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Continuous Improvement</w:t>
            </w:r>
          </w:p>
        </w:tc>
        <w:tc>
          <w:tcPr>
            <w:tcW w:w="1055" w:type="pct"/>
          </w:tcPr>
          <w:p w14:paraId="55B89065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248868DB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202B5E32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3AC96654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01F02F09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5C805EC9" w14:textId="517B735A" w:rsidTr="00147412">
        <w:tc>
          <w:tcPr>
            <w:tcW w:w="781" w:type="pct"/>
            <w:vAlign w:val="center"/>
          </w:tcPr>
          <w:p w14:paraId="28E38336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Governance &amp; Accountability</w:t>
            </w:r>
          </w:p>
        </w:tc>
        <w:tc>
          <w:tcPr>
            <w:tcW w:w="1055" w:type="pct"/>
          </w:tcPr>
          <w:p w14:paraId="3B2D798C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5A9CBBE9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49E1C17F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74C8F588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08051CCA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0A65219B" w14:textId="2049B540" w:rsidTr="00147412">
        <w:tc>
          <w:tcPr>
            <w:tcW w:w="781" w:type="pct"/>
            <w:vAlign w:val="center"/>
          </w:tcPr>
          <w:p w14:paraId="43C132F0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Stakeholder Engagement</w:t>
            </w:r>
          </w:p>
        </w:tc>
        <w:tc>
          <w:tcPr>
            <w:tcW w:w="1055" w:type="pct"/>
          </w:tcPr>
          <w:p w14:paraId="65CC0CEF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60190E4E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3C46AC3D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7E4A7B32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46BB20DB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  <w:tr w:rsidR="00147412" w:rsidRPr="00A64D9E" w14:paraId="7379840F" w14:textId="5D5C1F69" w:rsidTr="00147412">
        <w:tc>
          <w:tcPr>
            <w:tcW w:w="781" w:type="pct"/>
            <w:vAlign w:val="center"/>
          </w:tcPr>
          <w:p w14:paraId="64C6F546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  <w:r w:rsidRPr="00A64D9E">
              <w:rPr>
                <w:rFonts w:ascii="Proxima Nova" w:hAnsi="Proxima Nova"/>
                <w:sz w:val="16"/>
                <w:szCs w:val="16"/>
              </w:rPr>
              <w:t>Culture</w:t>
            </w:r>
          </w:p>
        </w:tc>
        <w:tc>
          <w:tcPr>
            <w:tcW w:w="1055" w:type="pct"/>
          </w:tcPr>
          <w:p w14:paraId="3FBC6096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</w:tcPr>
          <w:p w14:paraId="38D23262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5" w:type="pct"/>
            <w:vAlign w:val="center"/>
          </w:tcPr>
          <w:p w14:paraId="72E3B5E9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  <w:p w14:paraId="24C6A375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  <w:tc>
          <w:tcPr>
            <w:tcW w:w="1054" w:type="pct"/>
          </w:tcPr>
          <w:p w14:paraId="322DF59B" w14:textId="77777777" w:rsidR="00147412" w:rsidRPr="00A64D9E" w:rsidRDefault="00147412" w:rsidP="009762B9">
            <w:pPr>
              <w:pStyle w:val="BodyText"/>
              <w:spacing w:after="0" w:line="276" w:lineRule="auto"/>
              <w:rPr>
                <w:rFonts w:ascii="Proxima Nova" w:hAnsi="Proxima Nova"/>
                <w:b/>
                <w:bCs/>
                <w:sz w:val="16"/>
                <w:szCs w:val="16"/>
              </w:rPr>
            </w:pPr>
          </w:p>
        </w:tc>
      </w:tr>
    </w:tbl>
    <w:p w14:paraId="17CC3B5F" w14:textId="77777777" w:rsidR="00206E19" w:rsidRPr="00A64D9E" w:rsidRDefault="00206E19" w:rsidP="00206E19">
      <w:pPr>
        <w:pStyle w:val="BodyText"/>
        <w:spacing w:after="0" w:line="276" w:lineRule="auto"/>
        <w:rPr>
          <w:rFonts w:ascii="Proxima Nova" w:hAnsi="Proxima Nova"/>
        </w:rPr>
      </w:pPr>
    </w:p>
    <w:p w14:paraId="110E722C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  <w:b/>
          <w:bCs/>
          <w:color w:val="F15D22"/>
        </w:rPr>
      </w:pPr>
      <w:r w:rsidRPr="00A64D9E">
        <w:rPr>
          <w:rFonts w:ascii="Proxima Nova" w:hAnsi="Proxima Nova"/>
          <w:b/>
          <w:bCs/>
          <w:color w:val="F15D22"/>
        </w:rPr>
        <w:t>Reflection Prompts for the Self-Assessment</w:t>
      </w:r>
    </w:p>
    <w:p w14:paraId="723EC079" w14:textId="77777777" w:rsidR="00206E19" w:rsidRPr="00A64D9E" w:rsidRDefault="00206E19" w:rsidP="00206E19">
      <w:p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For each element, discuss:</w:t>
      </w:r>
    </w:p>
    <w:p w14:paraId="6C6ACE87" w14:textId="77777777" w:rsidR="00206E19" w:rsidRPr="00A64D9E" w:rsidRDefault="00206E19" w:rsidP="00206E19">
      <w:pPr>
        <w:numPr>
          <w:ilvl w:val="0"/>
          <w:numId w:val="3"/>
        </w:num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What evidence supports this rating?</w:t>
      </w:r>
    </w:p>
    <w:p w14:paraId="5881F286" w14:textId="77777777" w:rsidR="00206E19" w:rsidRPr="00A64D9E" w:rsidRDefault="00206E19" w:rsidP="00206E19">
      <w:pPr>
        <w:numPr>
          <w:ilvl w:val="0"/>
          <w:numId w:val="3"/>
        </w:num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How confident are we in this rating?</w:t>
      </w:r>
    </w:p>
    <w:p w14:paraId="0C41E4A9" w14:textId="77777777" w:rsidR="00206E19" w:rsidRPr="00A64D9E" w:rsidRDefault="00206E19" w:rsidP="00206E19">
      <w:pPr>
        <w:numPr>
          <w:ilvl w:val="0"/>
          <w:numId w:val="3"/>
        </w:num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Where might our perceptions differ across stakeholder groups?</w:t>
      </w:r>
    </w:p>
    <w:p w14:paraId="6315B629" w14:textId="271B6DC7" w:rsidR="00E0721E" w:rsidRDefault="00206E19" w:rsidP="00E0721E">
      <w:pPr>
        <w:numPr>
          <w:ilvl w:val="0"/>
          <w:numId w:val="3"/>
        </w:numPr>
        <w:spacing w:after="0" w:line="276" w:lineRule="auto"/>
        <w:rPr>
          <w:rFonts w:ascii="Proxima Nova" w:hAnsi="Proxima Nova"/>
        </w:rPr>
      </w:pPr>
      <w:r w:rsidRPr="00A64D9E">
        <w:rPr>
          <w:rFonts w:ascii="Proxima Nova" w:hAnsi="Proxima Nova"/>
        </w:rPr>
        <w:t>What information may be missing?</w:t>
      </w:r>
      <w:bookmarkStart w:id="1" w:name="_Toc230859554"/>
      <w:bookmarkEnd w:id="1"/>
    </w:p>
    <w:p w14:paraId="72454252" w14:textId="77777777" w:rsidR="002E3675" w:rsidRPr="002E3675" w:rsidRDefault="002E3675" w:rsidP="002E3675">
      <w:pPr>
        <w:pStyle w:val="BodyText"/>
        <w:spacing w:after="0"/>
      </w:pPr>
    </w:p>
    <w:p w14:paraId="0DD42F70" w14:textId="06AFFE50" w:rsidR="002E3675" w:rsidRPr="002E3675" w:rsidRDefault="002E3675" w:rsidP="002E3675">
      <w:pPr>
        <w:pStyle w:val="pdq2pgselectionanchorcontainer"/>
        <w:spacing w:before="0" w:beforeAutospacing="0" w:after="0" w:afterAutospacing="0"/>
        <w:rPr>
          <w:rFonts w:ascii="Proxima Nova" w:hAnsi="Proxima Nova"/>
          <w:sz w:val="19"/>
          <w:szCs w:val="19"/>
        </w:rPr>
      </w:pPr>
      <w:r w:rsidRPr="002E3675">
        <w:rPr>
          <w:rFonts w:ascii="Proxima Nova" w:hAnsi="Proxima Nova"/>
          <w:sz w:val="19"/>
          <w:szCs w:val="19"/>
        </w:rPr>
        <w:t xml:space="preserve">Were multiple stakeholders involved in </w:t>
      </w:r>
      <w:r w:rsidR="00B00364">
        <w:rPr>
          <w:rFonts w:ascii="Proxima Nova" w:hAnsi="Proxima Nova"/>
          <w:sz w:val="19"/>
          <w:szCs w:val="19"/>
        </w:rPr>
        <w:t>completing</w:t>
      </w:r>
      <w:r w:rsidR="00B00364" w:rsidRPr="00B00364">
        <w:rPr>
          <w:rFonts w:ascii="Proxima Nova" w:hAnsi="Proxima Nova"/>
          <w:sz w:val="19"/>
          <w:szCs w:val="19"/>
        </w:rPr>
        <w:t xml:space="preserve"> the self-assessment?</w:t>
      </w:r>
    </w:p>
    <w:p w14:paraId="202CA160" w14:textId="77777777" w:rsidR="002E3675" w:rsidRPr="002E3675" w:rsidRDefault="002E3675" w:rsidP="002E3675">
      <w:pPr>
        <w:pStyle w:val="NormalWeb"/>
        <w:spacing w:before="0" w:beforeAutospacing="0" w:after="0" w:afterAutospacing="0"/>
        <w:ind w:left="360"/>
        <w:rPr>
          <w:rFonts w:ascii="Proxima Nova" w:hAnsi="Proxima Nova"/>
          <w:sz w:val="19"/>
          <w:szCs w:val="19"/>
        </w:rPr>
      </w:pPr>
      <w:r w:rsidRPr="002E3675">
        <w:rPr>
          <w:rFonts w:ascii="Proxima Nova" w:hAnsi="Proxima Nova"/>
          <w:sz w:val="19"/>
          <w:szCs w:val="19"/>
        </w:rPr>
        <w:t>□ Yes—broad consensus</w:t>
      </w:r>
    </w:p>
    <w:p w14:paraId="6B379080" w14:textId="77777777" w:rsidR="002E3675" w:rsidRPr="002E3675" w:rsidRDefault="002E3675" w:rsidP="002E3675">
      <w:pPr>
        <w:pStyle w:val="NormalWeb"/>
        <w:spacing w:before="0" w:beforeAutospacing="0" w:after="0" w:afterAutospacing="0"/>
        <w:ind w:left="360"/>
        <w:rPr>
          <w:rFonts w:ascii="Proxima Nova" w:hAnsi="Proxima Nova"/>
          <w:sz w:val="19"/>
          <w:szCs w:val="19"/>
        </w:rPr>
      </w:pPr>
      <w:r w:rsidRPr="002E3675">
        <w:rPr>
          <w:rFonts w:ascii="Proxima Nova" w:hAnsi="Proxima Nova"/>
          <w:sz w:val="19"/>
          <w:szCs w:val="19"/>
        </w:rPr>
        <w:t>□ Yes—limited representation</w:t>
      </w:r>
    </w:p>
    <w:p w14:paraId="4DAF7A48" w14:textId="77777777" w:rsidR="002E3675" w:rsidRPr="002E3675" w:rsidRDefault="002E3675" w:rsidP="002E3675">
      <w:pPr>
        <w:pStyle w:val="NormalWeb"/>
        <w:spacing w:before="0" w:beforeAutospacing="0" w:after="0" w:afterAutospacing="0"/>
        <w:ind w:left="360"/>
        <w:rPr>
          <w:rFonts w:ascii="Proxima Nova" w:hAnsi="Proxima Nova"/>
          <w:sz w:val="19"/>
          <w:szCs w:val="19"/>
        </w:rPr>
      </w:pPr>
      <w:r w:rsidRPr="002E3675">
        <w:rPr>
          <w:rFonts w:ascii="Proxima Nova" w:hAnsi="Proxima Nova"/>
          <w:sz w:val="19"/>
          <w:szCs w:val="19"/>
        </w:rPr>
        <w:t>□ No—completed individually</w:t>
      </w:r>
    </w:p>
    <w:p w14:paraId="7F4DB653" w14:textId="77777777" w:rsidR="002E3675" w:rsidRPr="002E3675" w:rsidRDefault="002E3675" w:rsidP="002E3675">
      <w:pPr>
        <w:pStyle w:val="BodyText"/>
      </w:pPr>
    </w:p>
    <w:sectPr w:rsidR="002E3675" w:rsidRPr="002E3675" w:rsidSect="00147412">
      <w:pgSz w:w="15840" w:h="12240" w:orient="landscape"/>
      <w:pgMar w:top="1440" w:right="1440" w:bottom="144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93562F9" w14:textId="77777777" w:rsidR="00DD5DEE" w:rsidRDefault="00DD5DEE" w:rsidP="00E0721E">
      <w:pPr>
        <w:spacing w:after="0" w:line="240" w:lineRule="auto"/>
      </w:pPr>
      <w:r>
        <w:separator/>
      </w:r>
    </w:p>
  </w:endnote>
  <w:endnote w:type="continuationSeparator" w:id="0">
    <w:p w14:paraId="2A682A1F" w14:textId="77777777" w:rsidR="00DD5DEE" w:rsidRDefault="00DD5DEE" w:rsidP="00E0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Proxima Nova">
    <w:panose1 w:val="020B0604020202020204"/>
    <w:charset w:val="00"/>
    <w:family w:val="auto"/>
    <w:notTrueType/>
    <w:pitch w:val="variable"/>
    <w:sig w:usb0="A00002EF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206987080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2B5F634" w14:textId="20283A47" w:rsidR="00AA7EC0" w:rsidRDefault="00AA7EC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34E3A73" w14:textId="77777777" w:rsidR="00AA7EC0" w:rsidRDefault="00AA7E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8D8730" w14:textId="77777777" w:rsidR="00DD5DEE" w:rsidRDefault="00DD5DEE" w:rsidP="00E0721E">
      <w:pPr>
        <w:spacing w:after="0" w:line="240" w:lineRule="auto"/>
      </w:pPr>
      <w:r>
        <w:separator/>
      </w:r>
    </w:p>
  </w:footnote>
  <w:footnote w:type="continuationSeparator" w:id="0">
    <w:p w14:paraId="19E85DAF" w14:textId="77777777" w:rsidR="00DD5DEE" w:rsidRDefault="00DD5DEE" w:rsidP="00E07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32AC75" w14:textId="3E04104A" w:rsidR="00E0721E" w:rsidRDefault="00E0721E">
    <w:pPr>
      <w:pStyle w:val="Header"/>
    </w:pPr>
    <w:r w:rsidRPr="005D6E0D">
      <w:rPr>
        <w:rFonts w:ascii="Proxima Nova" w:hAnsi="Proxima Nova"/>
        <w:noProof/>
        <w14:ligatures w14:val="standardContextual"/>
      </w:rPr>
      <w:drawing>
        <wp:inline distT="0" distB="0" distL="0" distR="0" wp14:anchorId="3CF1B33C" wp14:editId="2E7BB307">
          <wp:extent cx="949814" cy="643255"/>
          <wp:effectExtent l="0" t="0" r="3175" b="4445"/>
          <wp:docPr id="15577862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959293" name="Picture 162495929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464" cy="6457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EC3091"/>
    <w:multiLevelType w:val="multilevel"/>
    <w:tmpl w:val="E18C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80194"/>
    <w:multiLevelType w:val="multilevel"/>
    <w:tmpl w:val="70F6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F1C30"/>
    <w:multiLevelType w:val="multilevel"/>
    <w:tmpl w:val="2CD4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670687"/>
    <w:multiLevelType w:val="multilevel"/>
    <w:tmpl w:val="147A1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E00C3"/>
    <w:multiLevelType w:val="multilevel"/>
    <w:tmpl w:val="AD0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081320"/>
    <w:multiLevelType w:val="multilevel"/>
    <w:tmpl w:val="D0087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1B60B2"/>
    <w:multiLevelType w:val="multilevel"/>
    <w:tmpl w:val="CE0E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EB1347"/>
    <w:multiLevelType w:val="multilevel"/>
    <w:tmpl w:val="81A41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AE249C"/>
    <w:multiLevelType w:val="multilevel"/>
    <w:tmpl w:val="445E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F616E"/>
    <w:multiLevelType w:val="multilevel"/>
    <w:tmpl w:val="E87A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DF78E0"/>
    <w:multiLevelType w:val="multilevel"/>
    <w:tmpl w:val="EA880E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94615B"/>
    <w:multiLevelType w:val="multilevel"/>
    <w:tmpl w:val="75501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0290955">
    <w:abstractNumId w:val="3"/>
  </w:num>
  <w:num w:numId="2" w16cid:durableId="924997369">
    <w:abstractNumId w:val="10"/>
  </w:num>
  <w:num w:numId="3" w16cid:durableId="1593585107">
    <w:abstractNumId w:val="8"/>
  </w:num>
  <w:num w:numId="4" w16cid:durableId="1447430369">
    <w:abstractNumId w:val="2"/>
  </w:num>
  <w:num w:numId="5" w16cid:durableId="801923115">
    <w:abstractNumId w:val="5"/>
  </w:num>
  <w:num w:numId="6" w16cid:durableId="704250895">
    <w:abstractNumId w:val="11"/>
  </w:num>
  <w:num w:numId="7" w16cid:durableId="200438918">
    <w:abstractNumId w:val="4"/>
  </w:num>
  <w:num w:numId="8" w16cid:durableId="407533976">
    <w:abstractNumId w:val="9"/>
  </w:num>
  <w:num w:numId="9" w16cid:durableId="1064183014">
    <w:abstractNumId w:val="6"/>
  </w:num>
  <w:num w:numId="10" w16cid:durableId="1605577243">
    <w:abstractNumId w:val="7"/>
  </w:num>
  <w:num w:numId="11" w16cid:durableId="1071003901">
    <w:abstractNumId w:val="1"/>
  </w:num>
  <w:num w:numId="12" w16cid:durableId="86548328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19"/>
    <w:rsid w:val="00072F26"/>
    <w:rsid w:val="00090F75"/>
    <w:rsid w:val="000F0FAC"/>
    <w:rsid w:val="00147412"/>
    <w:rsid w:val="00206E19"/>
    <w:rsid w:val="00217E7A"/>
    <w:rsid w:val="00231851"/>
    <w:rsid w:val="00253F65"/>
    <w:rsid w:val="002E3675"/>
    <w:rsid w:val="002E4A31"/>
    <w:rsid w:val="003065F1"/>
    <w:rsid w:val="00503D42"/>
    <w:rsid w:val="0060798A"/>
    <w:rsid w:val="00647147"/>
    <w:rsid w:val="006E61DB"/>
    <w:rsid w:val="00754676"/>
    <w:rsid w:val="008953B7"/>
    <w:rsid w:val="00A64D9E"/>
    <w:rsid w:val="00AA7EC0"/>
    <w:rsid w:val="00B00364"/>
    <w:rsid w:val="00B239EB"/>
    <w:rsid w:val="00D54673"/>
    <w:rsid w:val="00DD5DEE"/>
    <w:rsid w:val="00DF0566"/>
    <w:rsid w:val="00E0721E"/>
    <w:rsid w:val="00E273B6"/>
    <w:rsid w:val="00E5756B"/>
    <w:rsid w:val="00FB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E15B"/>
  <w15:chartTrackingRefBased/>
  <w15:docId w15:val="{4454781D-1F77-4B81-AE60-B8128B91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ranchED Body"/>
    <w:next w:val="BodyText"/>
    <w:qFormat/>
    <w:rsid w:val="00206E19"/>
    <w:rPr>
      <w:color w:val="000000" w:themeColor="text1"/>
      <w:kern w:val="0"/>
      <w:sz w:val="19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1851"/>
    <w:pPr>
      <w:keepNext/>
      <w:keepLines/>
      <w:autoSpaceDE w:val="0"/>
      <w:autoSpaceDN w:val="0"/>
      <w:adjustRightInd w:val="0"/>
      <w:spacing w:before="400" w:after="120" w:line="276" w:lineRule="auto"/>
      <w:textAlignment w:val="center"/>
      <w:outlineLvl w:val="0"/>
    </w:pPr>
    <w:rPr>
      <w:rFonts w:ascii="Arial" w:hAnsi="Arial" w:cs="Arial"/>
      <w:color w:val="00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18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A007A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8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70051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A007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E19"/>
    <w:pPr>
      <w:keepNext/>
      <w:keepLines/>
      <w:spacing w:before="80" w:after="40"/>
      <w:outlineLvl w:val="4"/>
    </w:pPr>
    <w:rPr>
      <w:rFonts w:eastAsiaTheme="majorEastAsia" w:cstheme="majorBidi"/>
      <w:color w:val="3A007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anchEDTitle">
    <w:name w:val="BranchED Title"/>
    <w:link w:val="BranchEDTitleChar"/>
    <w:qFormat/>
    <w:rsid w:val="00231851"/>
    <w:pPr>
      <w:keepNext/>
      <w:keepLines/>
      <w:autoSpaceDE w:val="0"/>
      <w:autoSpaceDN w:val="0"/>
      <w:adjustRightInd w:val="0"/>
      <w:spacing w:after="120" w:line="240" w:lineRule="auto"/>
      <w:ind w:left="810"/>
      <w:textAlignment w:val="center"/>
      <w:outlineLvl w:val="0"/>
    </w:pPr>
    <w:rPr>
      <w:rFonts w:ascii="Gill Sans MT" w:hAnsi="Gill Sans MT" w:cs="Gill Sans MT"/>
      <w:b/>
      <w:bCs/>
      <w:color w:val="000000" w:themeColor="text1"/>
      <w:spacing w:val="4"/>
      <w:sz w:val="44"/>
      <w:szCs w:val="44"/>
      <w14:textOutline w14:w="9525" w14:cap="flat" w14:cmpd="sng" w14:algn="ctr">
        <w14:noFill/>
        <w14:prstDash w14:val="solid"/>
        <w14:round/>
      </w14:textOutline>
    </w:rPr>
  </w:style>
  <w:style w:type="character" w:customStyle="1" w:styleId="BranchEDTitleChar">
    <w:name w:val="BranchED Title Char"/>
    <w:basedOn w:val="DefaultParagraphFont"/>
    <w:link w:val="BranchEDTitle"/>
    <w:rsid w:val="00231851"/>
    <w:rPr>
      <w:rFonts w:ascii="Gill Sans MT" w:hAnsi="Gill Sans MT" w:cs="Gill Sans MT"/>
      <w:b/>
      <w:bCs/>
      <w:color w:val="000000" w:themeColor="text1"/>
      <w:spacing w:val="4"/>
      <w:sz w:val="44"/>
      <w:szCs w:val="44"/>
      <w14:textOutline w14:w="9525" w14:cap="flat" w14:cmpd="sng" w14:algn="ctr">
        <w14:noFill/>
        <w14:prstDash w14:val="solid"/>
        <w14:round/>
      </w14:textOutline>
    </w:rPr>
  </w:style>
  <w:style w:type="paragraph" w:customStyle="1" w:styleId="BranchEDHyperlinks">
    <w:name w:val="BranchED Hyperlinks"/>
    <w:basedOn w:val="Normal"/>
    <w:link w:val="BranchEDHyperlinksChar"/>
    <w:qFormat/>
    <w:rsid w:val="00231851"/>
    <w:rPr>
      <w:color w:val="4F00A3" w:themeColor="accent1"/>
    </w:rPr>
  </w:style>
  <w:style w:type="character" w:customStyle="1" w:styleId="BranchEDHyperlinksChar">
    <w:name w:val="BranchED Hyperlinks Char"/>
    <w:basedOn w:val="DefaultParagraphFont"/>
    <w:link w:val="BranchEDHyperlinks"/>
    <w:rsid w:val="00231851"/>
    <w:rPr>
      <w:color w:val="4F00A3" w:themeColor="accent1"/>
      <w:sz w:val="19"/>
    </w:rPr>
  </w:style>
  <w:style w:type="character" w:customStyle="1" w:styleId="BranchEDSuperscript">
    <w:name w:val="BranchED Superscript"/>
    <w:basedOn w:val="EndnoteReference"/>
    <w:uiPriority w:val="1"/>
    <w:qFormat/>
    <w:rsid w:val="00231851"/>
    <w:rPr>
      <w:rFonts w:eastAsia="Times New Roman" w:cstheme="minorHAnsi"/>
      <w:b/>
      <w:color w:val="4F00A3" w:themeColor="accent1"/>
      <w:szCs w:val="19"/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sid w:val="00231851"/>
    <w:rPr>
      <w:vertAlign w:val="superscript"/>
    </w:rPr>
  </w:style>
  <w:style w:type="paragraph" w:customStyle="1" w:styleId="StateName">
    <w:name w:val="State Name"/>
    <w:basedOn w:val="Normal"/>
    <w:link w:val="StateNameChar"/>
    <w:qFormat/>
    <w:rsid w:val="00231851"/>
    <w:pPr>
      <w:jc w:val="center"/>
    </w:pPr>
    <w:rPr>
      <w:b/>
      <w:bCs/>
      <w:color w:val="auto"/>
      <w:sz w:val="56"/>
      <w:szCs w:val="56"/>
    </w:rPr>
  </w:style>
  <w:style w:type="character" w:customStyle="1" w:styleId="StateNameChar">
    <w:name w:val="State Name Char"/>
    <w:basedOn w:val="DefaultParagraphFont"/>
    <w:link w:val="StateName"/>
    <w:rsid w:val="00231851"/>
    <w:rPr>
      <w:b/>
      <w:bCs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23185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31851"/>
    <w:rPr>
      <w:color w:val="000000" w:themeColor="text1"/>
      <w:sz w:val="19"/>
    </w:rPr>
  </w:style>
  <w:style w:type="character" w:customStyle="1" w:styleId="Heading1Char">
    <w:name w:val="Heading 1 Char"/>
    <w:basedOn w:val="DefaultParagraphFont"/>
    <w:link w:val="Heading1"/>
    <w:uiPriority w:val="9"/>
    <w:rsid w:val="00231851"/>
    <w:rPr>
      <w:rFonts w:ascii="Arial" w:hAnsi="Arial" w:cs="Arial"/>
      <w:color w:val="00000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31851"/>
    <w:rPr>
      <w:rFonts w:asciiTheme="majorHAnsi" w:eastAsiaTheme="majorEastAsia" w:hAnsiTheme="majorHAnsi" w:cstheme="majorBidi"/>
      <w:color w:val="3A007A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851"/>
    <w:rPr>
      <w:rFonts w:asciiTheme="majorHAnsi" w:eastAsiaTheme="majorEastAsia" w:hAnsiTheme="majorHAnsi" w:cstheme="majorBidi"/>
      <w:color w:val="270051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318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231851"/>
    <w:pPr>
      <w:spacing w:after="0" w:line="240" w:lineRule="auto"/>
    </w:pPr>
    <w:rPr>
      <w:color w:val="000000" w:themeColor="text1"/>
      <w:sz w:val="19"/>
    </w:rPr>
  </w:style>
  <w:style w:type="character" w:customStyle="1" w:styleId="NoSpacingChar">
    <w:name w:val="No Spacing Char"/>
    <w:basedOn w:val="DefaultParagraphFont"/>
    <w:link w:val="NoSpacing"/>
    <w:uiPriority w:val="1"/>
    <w:rsid w:val="00231851"/>
    <w:rPr>
      <w:color w:val="000000" w:themeColor="text1"/>
      <w:sz w:val="19"/>
    </w:rPr>
  </w:style>
  <w:style w:type="paragraph" w:styleId="TOCHeading">
    <w:name w:val="TOC Heading"/>
    <w:basedOn w:val="Heading1"/>
    <w:next w:val="Normal"/>
    <w:uiPriority w:val="39"/>
    <w:unhideWhenUsed/>
    <w:qFormat/>
    <w:rsid w:val="00231851"/>
    <w:pPr>
      <w:autoSpaceDE/>
      <w:autoSpaceDN/>
      <w:adjustRightInd/>
      <w:spacing w:before="240" w:after="0" w:line="259" w:lineRule="auto"/>
      <w:textAlignment w:val="auto"/>
      <w:outlineLvl w:val="9"/>
    </w:pPr>
    <w:rPr>
      <w:rFonts w:asciiTheme="majorHAnsi" w:eastAsiaTheme="majorEastAsia" w:hAnsiTheme="majorHAnsi" w:cstheme="majorBidi"/>
      <w:color w:val="3A007A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E19"/>
    <w:rPr>
      <w:rFonts w:eastAsiaTheme="majorEastAsia" w:cstheme="majorBidi"/>
      <w:i/>
      <w:iCs/>
      <w:color w:val="3A007A" w:themeColor="accent1" w:themeShade="BF"/>
      <w:kern w:val="0"/>
      <w:sz w:val="19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E19"/>
    <w:rPr>
      <w:rFonts w:eastAsiaTheme="majorEastAsia" w:cstheme="majorBidi"/>
      <w:color w:val="3A007A" w:themeColor="accent1" w:themeShade="BF"/>
      <w:kern w:val="0"/>
      <w:sz w:val="19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E19"/>
    <w:rPr>
      <w:rFonts w:eastAsiaTheme="majorEastAsia" w:cstheme="majorBidi"/>
      <w:i/>
      <w:iCs/>
      <w:color w:val="595959" w:themeColor="text1" w:themeTint="A6"/>
      <w:kern w:val="0"/>
      <w:sz w:val="19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E19"/>
    <w:rPr>
      <w:rFonts w:eastAsiaTheme="majorEastAsia" w:cstheme="majorBidi"/>
      <w:color w:val="595959" w:themeColor="text1" w:themeTint="A6"/>
      <w:kern w:val="0"/>
      <w:sz w:val="19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E19"/>
    <w:rPr>
      <w:rFonts w:eastAsiaTheme="majorEastAsia" w:cstheme="majorBidi"/>
      <w:i/>
      <w:iCs/>
      <w:color w:val="272727" w:themeColor="text1" w:themeTint="D8"/>
      <w:kern w:val="0"/>
      <w:sz w:val="19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E19"/>
    <w:rPr>
      <w:rFonts w:eastAsiaTheme="majorEastAsia" w:cstheme="majorBidi"/>
      <w:color w:val="272727" w:themeColor="text1" w:themeTint="D8"/>
      <w:kern w:val="0"/>
      <w:sz w:val="19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206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6E1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rsid w:val="00206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E19"/>
    <w:rPr>
      <w:i/>
      <w:iCs/>
      <w:color w:val="404040" w:themeColor="text1" w:themeTint="BF"/>
      <w:kern w:val="0"/>
      <w:sz w:val="19"/>
      <w14:ligatures w14:val="none"/>
    </w:rPr>
  </w:style>
  <w:style w:type="paragraph" w:styleId="ListParagraph">
    <w:name w:val="List Paragraph"/>
    <w:basedOn w:val="Normal"/>
    <w:uiPriority w:val="34"/>
    <w:rsid w:val="00206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206E19"/>
    <w:rPr>
      <w:i/>
      <w:iCs/>
      <w:color w:val="3A007A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206E19"/>
    <w:pPr>
      <w:pBdr>
        <w:top w:val="single" w:sz="4" w:space="10" w:color="3A007A" w:themeColor="accent1" w:themeShade="BF"/>
        <w:bottom w:val="single" w:sz="4" w:space="10" w:color="3A007A" w:themeColor="accent1" w:themeShade="BF"/>
      </w:pBdr>
      <w:spacing w:before="360" w:after="360"/>
      <w:ind w:left="864" w:right="864"/>
      <w:jc w:val="center"/>
    </w:pPr>
    <w:rPr>
      <w:i/>
      <w:iCs/>
      <w:color w:val="3A007A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E19"/>
    <w:rPr>
      <w:i/>
      <w:iCs/>
      <w:color w:val="3A007A" w:themeColor="accent1" w:themeShade="BF"/>
      <w:kern w:val="0"/>
      <w:sz w:val="19"/>
      <w14:ligatures w14:val="none"/>
    </w:rPr>
  </w:style>
  <w:style w:type="character" w:styleId="IntenseReference">
    <w:name w:val="Intense Reference"/>
    <w:basedOn w:val="DefaultParagraphFont"/>
    <w:uiPriority w:val="32"/>
    <w:rsid w:val="00206E19"/>
    <w:rPr>
      <w:b/>
      <w:bCs/>
      <w:smallCaps/>
      <w:color w:val="3A007A" w:themeColor="accent1" w:themeShade="BF"/>
      <w:spacing w:val="5"/>
    </w:rPr>
  </w:style>
  <w:style w:type="table" w:styleId="TableGrid">
    <w:name w:val="Table Grid"/>
    <w:basedOn w:val="TableNormal"/>
    <w:uiPriority w:val="39"/>
    <w:rsid w:val="00206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2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21E"/>
    <w:rPr>
      <w:color w:val="000000" w:themeColor="text1"/>
      <w:kern w:val="0"/>
      <w:sz w:val="19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72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21E"/>
    <w:rPr>
      <w:color w:val="000000" w:themeColor="text1"/>
      <w:kern w:val="0"/>
      <w:sz w:val="19"/>
      <w14:ligatures w14:val="none"/>
    </w:rPr>
  </w:style>
  <w:style w:type="character" w:styleId="Strong">
    <w:name w:val="Strong"/>
    <w:basedOn w:val="DefaultParagraphFont"/>
    <w:uiPriority w:val="22"/>
    <w:qFormat/>
    <w:rsid w:val="00A64D9E"/>
    <w:rPr>
      <w:b/>
      <w:bCs/>
    </w:rPr>
  </w:style>
  <w:style w:type="paragraph" w:customStyle="1" w:styleId="pdq2pgselectionanchorcontainer">
    <w:name w:val="pdq2pg_selectionanchorcontainer"/>
    <w:basedOn w:val="Normal"/>
    <w:rsid w:val="002E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ranch ED">
      <a:dk1>
        <a:srgbClr val="000000"/>
      </a:dk1>
      <a:lt1>
        <a:sysClr val="window" lastClr="FFFFFF"/>
      </a:lt1>
      <a:dk2>
        <a:srgbClr val="7B8284"/>
      </a:dk2>
      <a:lt2>
        <a:srgbClr val="E7E6E6"/>
      </a:lt2>
      <a:accent1>
        <a:srgbClr val="4F00A3"/>
      </a:accent1>
      <a:accent2>
        <a:srgbClr val="F15D22"/>
      </a:accent2>
      <a:accent3>
        <a:srgbClr val="6DB33F"/>
      </a:accent3>
      <a:accent4>
        <a:srgbClr val="AA64FB"/>
      </a:accent4>
      <a:accent5>
        <a:srgbClr val="0D92FF"/>
      </a:accent5>
      <a:accent6>
        <a:srgbClr val="290079"/>
      </a:accent6>
      <a:hlink>
        <a:srgbClr val="0563C1"/>
      </a:hlink>
      <a:folHlink>
        <a:srgbClr val="954F72"/>
      </a:folHlink>
    </a:clrScheme>
    <a:fontScheme name="BranchED">
      <a:majorFont>
        <a:latin typeface="Gill Sans MT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8133b4-4030-49a6-a2df-e4f7bd6b131a" xsi:nil="true"/>
    <lcf76f155ced4ddcb4097134ff3c332f xmlns="ea94cb4d-6deb-45a2-adbf-9e220c0b738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160B64708B2A4EA6E235A0A9D0DE54" ma:contentTypeVersion="19" ma:contentTypeDescription="Create a new document." ma:contentTypeScope="" ma:versionID="439b4217d04c9e9c13b007ac50e6b6c5">
  <xsd:schema xmlns:xsd="http://www.w3.org/2001/XMLSchema" xmlns:xs="http://www.w3.org/2001/XMLSchema" xmlns:p="http://schemas.microsoft.com/office/2006/metadata/properties" xmlns:ns2="ea94cb4d-6deb-45a2-adbf-9e220c0b7381" xmlns:ns3="328133b4-4030-49a6-a2df-e4f7bd6b131a" targetNamespace="http://schemas.microsoft.com/office/2006/metadata/properties" ma:root="true" ma:fieldsID="7d94b574c4d9188d0af5e365842fb000" ns2:_="" ns3:_="">
    <xsd:import namespace="ea94cb4d-6deb-45a2-adbf-9e220c0b7381"/>
    <xsd:import namespace="328133b4-4030-49a6-a2df-e4f7bd6b13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4cb4d-6deb-45a2-adbf-9e220c0b73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2dcb550-0f74-4249-b739-2509a630c8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133b4-4030-49a6-a2df-e4f7bd6b1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00c5dc-fdba-44af-9dcf-011918099b5b}" ma:internalName="TaxCatchAll" ma:showField="CatchAllData" ma:web="328133b4-4030-49a6-a2df-e4f7bd6b13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CB7E9-4106-48C7-AD04-CE34AA8C4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F1E655-78D4-4FAB-9835-0E9437922F9A}">
  <ds:schemaRefs>
    <ds:schemaRef ds:uri="http://schemas.microsoft.com/office/2006/metadata/properties"/>
    <ds:schemaRef ds:uri="http://schemas.microsoft.com/office/infopath/2007/PartnerControls"/>
    <ds:schemaRef ds:uri="328133b4-4030-49a6-a2df-e4f7bd6b131a"/>
    <ds:schemaRef ds:uri="ea94cb4d-6deb-45a2-adbf-9e220c0b7381"/>
  </ds:schemaRefs>
</ds:datastoreItem>
</file>

<file path=customXml/itemProps3.xml><?xml version="1.0" encoding="utf-8"?>
<ds:datastoreItem xmlns:ds="http://schemas.openxmlformats.org/officeDocument/2006/customXml" ds:itemID="{9D0E1F80-77A4-499A-8DB1-3518FE6EB5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94cb4d-6deb-45a2-adbf-9e220c0b7381"/>
    <ds:schemaRef ds:uri="328133b4-4030-49a6-a2df-e4f7bd6b1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2264</Characters>
  <Application>Microsoft Office Word</Application>
  <DocSecurity>0</DocSecurity>
  <Lines>126</Lines>
  <Paragraphs>59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Patricia Alvarez McHatton</dc:creator>
  <cp:keywords/>
  <dc:description/>
  <cp:lastModifiedBy>Marissa Villa</cp:lastModifiedBy>
  <cp:revision>2</cp:revision>
  <dcterms:created xsi:type="dcterms:W3CDTF">2026-09-11T20:19:00Z</dcterms:created>
  <dcterms:modified xsi:type="dcterms:W3CDTF">2026-09-11T20:19:00Z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9f8f9cb5-b863-440c-ab34-0032d8112656</vt:lpwstr>
  </property>
  <property fmtid="{D5CDD505-2E9C-101B-9397-08002B2CF9AE}" pid="3" name="ContentTypeId">
    <vt:lpwstr>0x01010052160B64708B2A4EA6E235A0A9D0DE54</vt:lpwstr>
  </property>
  <property fmtid="{D5CDD505-2E9C-101B-9397-08002B2CF9AE}" pid="4" name="MediaServiceImageTags">
    <vt:lpwstr/>
  </property>
</Properties>
</file>